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8"/>
        <w:gridCol w:w="4602"/>
      </w:tblGrid>
      <w:tr w:rsidR="00FF294F" w:rsidRPr="00FF294F" w14:paraId="2DF1C7B5" w14:textId="77777777" w:rsidTr="00FF294F">
        <w:tc>
          <w:tcPr>
            <w:tcW w:w="4788" w:type="dxa"/>
          </w:tcPr>
          <w:p w14:paraId="7568C05B" w14:textId="6FB3AF46" w:rsidR="00FF294F" w:rsidRPr="00FF294F" w:rsidRDefault="003B1DDB" w:rsidP="000E338C">
            <w:pPr>
              <w:jc w:val="both"/>
              <w:rPr>
                <w:rFonts w:ascii="Calibri" w:hAnsi="Calibri"/>
                <w:bCs/>
                <w:lang w:val="en-GB"/>
              </w:rPr>
            </w:pPr>
            <w:r w:rsidRPr="00FF294F">
              <w:rPr>
                <w:rFonts w:ascii="Calibri" w:hAnsi="Calibri"/>
                <w:b/>
                <w:bCs/>
                <w:lang w:val="en-GB"/>
              </w:rPr>
              <w:t xml:space="preserve">Subject: </w:t>
            </w:r>
            <w:r>
              <w:rPr>
                <w:rFonts w:ascii="Calibri" w:hAnsi="Calibri"/>
                <w:b/>
                <w:bCs/>
                <w:lang w:val="en-GB"/>
              </w:rPr>
              <w:t xml:space="preserve"> </w:t>
            </w:r>
            <w:r>
              <w:rPr>
                <w:rFonts w:ascii="Calibri" w:hAnsi="Calibri"/>
                <w:bCs/>
                <w:lang w:val="en-GB"/>
              </w:rPr>
              <w:t xml:space="preserve">Travel </w:t>
            </w:r>
            <w:r>
              <w:rPr>
                <w:rFonts w:ascii="Calibri" w:hAnsi="Calibri"/>
                <w:bCs/>
                <w:lang w:val="en-GB"/>
              </w:rPr>
              <w:t>Best Practices</w:t>
            </w:r>
          </w:p>
        </w:tc>
        <w:tc>
          <w:tcPr>
            <w:tcW w:w="4788" w:type="dxa"/>
          </w:tcPr>
          <w:p w14:paraId="4EA869DB" w14:textId="61CEB9F4" w:rsidR="00FF294F" w:rsidRPr="00A801B2" w:rsidRDefault="00FF294F" w:rsidP="000E338C">
            <w:pPr>
              <w:spacing w:line="276" w:lineRule="auto"/>
              <w:jc w:val="both"/>
              <w:rPr>
                <w:rFonts w:ascii="Calibri" w:hAnsi="Calibri"/>
                <w:bCs/>
                <w:lang w:val="en-GB"/>
              </w:rPr>
            </w:pPr>
          </w:p>
        </w:tc>
      </w:tr>
      <w:tr w:rsidR="00FF294F" w:rsidRPr="00FF294F" w14:paraId="3433A613" w14:textId="77777777" w:rsidTr="00A14002">
        <w:trPr>
          <w:trHeight w:val="377"/>
        </w:trPr>
        <w:tc>
          <w:tcPr>
            <w:tcW w:w="4788" w:type="dxa"/>
          </w:tcPr>
          <w:p w14:paraId="2F8739BB" w14:textId="5A74E030" w:rsidR="00FF294F" w:rsidRPr="00FF294F" w:rsidRDefault="00FF294F" w:rsidP="000E338C">
            <w:pPr>
              <w:jc w:val="both"/>
              <w:rPr>
                <w:rFonts w:ascii="Calibri" w:hAnsi="Calibri"/>
                <w:b/>
                <w:bCs/>
                <w:lang w:val="en-GB"/>
              </w:rPr>
            </w:pPr>
            <w:r w:rsidRPr="00FF294F">
              <w:rPr>
                <w:rFonts w:ascii="Calibri" w:hAnsi="Calibri"/>
                <w:b/>
                <w:bCs/>
                <w:lang w:val="en-GB"/>
              </w:rPr>
              <w:t xml:space="preserve">Effective Date: </w:t>
            </w:r>
            <w:r w:rsidR="003B1DDB">
              <w:rPr>
                <w:rFonts w:ascii="Calibri" w:hAnsi="Calibri"/>
                <w:bCs/>
                <w:lang w:val="en-GB"/>
              </w:rPr>
              <w:t>8</w:t>
            </w:r>
            <w:r w:rsidR="00A22706">
              <w:rPr>
                <w:rFonts w:ascii="Calibri" w:hAnsi="Calibri"/>
                <w:bCs/>
                <w:lang w:val="en-GB"/>
              </w:rPr>
              <w:t>/13/18</w:t>
            </w:r>
          </w:p>
        </w:tc>
        <w:tc>
          <w:tcPr>
            <w:tcW w:w="4788" w:type="dxa"/>
          </w:tcPr>
          <w:p w14:paraId="71BE7FA4" w14:textId="77777777" w:rsidR="00FF294F" w:rsidRPr="00FF294F" w:rsidRDefault="00FF294F" w:rsidP="00FF294F">
            <w:pPr>
              <w:spacing w:line="276" w:lineRule="auto"/>
              <w:jc w:val="both"/>
              <w:rPr>
                <w:rFonts w:ascii="Calibri" w:hAnsi="Calibri"/>
                <w:b/>
                <w:bCs/>
                <w:lang w:val="en-GB"/>
              </w:rPr>
            </w:pPr>
            <w:r w:rsidRPr="00FF294F">
              <w:rPr>
                <w:rFonts w:ascii="Calibri" w:hAnsi="Calibri"/>
                <w:b/>
                <w:bCs/>
                <w:lang w:val="en-GB"/>
              </w:rPr>
              <w:t xml:space="preserve">Page Number: </w:t>
            </w:r>
            <w:r w:rsidR="006A0D9D" w:rsidRPr="00386962">
              <w:rPr>
                <w:rFonts w:ascii="Calibri" w:hAnsi="Calibri"/>
                <w:bCs/>
                <w:lang w:val="en-GB"/>
              </w:rPr>
              <w:t>1</w:t>
            </w:r>
          </w:p>
        </w:tc>
      </w:tr>
      <w:tr w:rsidR="00FF294F" w:rsidRPr="00FF294F" w14:paraId="43FB64B1" w14:textId="77777777" w:rsidTr="00FF294F">
        <w:tc>
          <w:tcPr>
            <w:tcW w:w="4788" w:type="dxa"/>
          </w:tcPr>
          <w:p w14:paraId="3C76E52B" w14:textId="7A311C6D" w:rsidR="00FF294F" w:rsidRPr="00FF294F" w:rsidRDefault="00FF294F" w:rsidP="00FF294F">
            <w:pPr>
              <w:jc w:val="both"/>
              <w:rPr>
                <w:rFonts w:ascii="Calibri" w:hAnsi="Calibri"/>
                <w:b/>
                <w:bCs/>
                <w:lang w:val="en-GB"/>
              </w:rPr>
            </w:pPr>
            <w:r w:rsidRPr="00FF294F">
              <w:rPr>
                <w:rFonts w:ascii="Calibri" w:hAnsi="Calibri"/>
                <w:b/>
                <w:bCs/>
                <w:lang w:val="en-GB"/>
              </w:rPr>
              <w:t xml:space="preserve">Approved Date: </w:t>
            </w:r>
            <w:r w:rsidR="003B1DDB" w:rsidRPr="003B1DDB">
              <w:rPr>
                <w:rFonts w:ascii="Calibri" w:hAnsi="Calibri"/>
                <w:bCs/>
                <w:lang w:val="en-GB"/>
              </w:rPr>
              <w:t>8/1/18</w:t>
            </w:r>
          </w:p>
          <w:p w14:paraId="38427A4A" w14:textId="77777777" w:rsidR="00FF294F" w:rsidRPr="00FF294F" w:rsidRDefault="00FF294F" w:rsidP="006A0D9D">
            <w:pPr>
              <w:jc w:val="both"/>
              <w:rPr>
                <w:rFonts w:ascii="Calibri" w:hAnsi="Calibri"/>
                <w:b/>
                <w:bCs/>
                <w:lang w:val="en-GB"/>
              </w:rPr>
            </w:pPr>
            <w:r w:rsidRPr="00FF294F">
              <w:rPr>
                <w:rFonts w:ascii="Calibri" w:hAnsi="Calibri"/>
                <w:b/>
                <w:bCs/>
                <w:lang w:val="en-GB"/>
              </w:rPr>
              <w:t xml:space="preserve">Revision Date: </w:t>
            </w:r>
          </w:p>
        </w:tc>
        <w:tc>
          <w:tcPr>
            <w:tcW w:w="4788" w:type="dxa"/>
          </w:tcPr>
          <w:p w14:paraId="695A304A" w14:textId="5DDCC9A8" w:rsidR="00FF294F" w:rsidRPr="00FF294F" w:rsidRDefault="00FF294F" w:rsidP="003B1DDB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 w:rsidRPr="00FF294F">
              <w:rPr>
                <w:rFonts w:ascii="Calibri" w:hAnsi="Calibri"/>
                <w:b/>
                <w:bCs/>
                <w:lang w:val="en-GB"/>
              </w:rPr>
              <w:t xml:space="preserve">Approved by: </w:t>
            </w:r>
            <w:r w:rsidR="003B1DDB">
              <w:rPr>
                <w:rFonts w:ascii="Calibri" w:hAnsi="Calibri"/>
                <w:bCs/>
                <w:lang w:val="en-GB"/>
              </w:rPr>
              <w:t>Pharmacy Administrative Council</w:t>
            </w:r>
          </w:p>
        </w:tc>
      </w:tr>
      <w:tr w:rsidR="00FF294F" w:rsidRPr="00FF294F" w14:paraId="3E565DDE" w14:textId="77777777" w:rsidTr="00FF294F">
        <w:tc>
          <w:tcPr>
            <w:tcW w:w="9576" w:type="dxa"/>
            <w:gridSpan w:val="2"/>
          </w:tcPr>
          <w:p w14:paraId="1E52C407" w14:textId="18AE9D5A" w:rsidR="00FF294F" w:rsidRPr="00FF294F" w:rsidRDefault="00FF294F" w:rsidP="00FF294F">
            <w:pPr>
              <w:spacing w:line="276" w:lineRule="auto"/>
              <w:jc w:val="both"/>
              <w:rPr>
                <w:rFonts w:ascii="Calibri" w:hAnsi="Calibri"/>
                <w:b/>
                <w:bCs/>
                <w:lang w:val="en-GB"/>
              </w:rPr>
            </w:pPr>
          </w:p>
          <w:p w14:paraId="6836FF55" w14:textId="18A60F33" w:rsidR="00FF294F" w:rsidRPr="00FF294F" w:rsidRDefault="00FF294F" w:rsidP="00FF294F">
            <w:pPr>
              <w:rPr>
                <w:rFonts w:ascii="Calibri" w:hAnsi="Calibri"/>
                <w:lang w:val="en-GB"/>
              </w:rPr>
            </w:pPr>
            <w:r w:rsidRPr="00FF294F">
              <w:rPr>
                <w:rFonts w:ascii="Calibri" w:hAnsi="Calibri"/>
                <w:lang w:val="en-GB"/>
              </w:rPr>
              <w:t xml:space="preserve">1. </w:t>
            </w:r>
            <w:r w:rsidRPr="00FF294F">
              <w:rPr>
                <w:rFonts w:ascii="Calibri" w:hAnsi="Calibri"/>
                <w:b/>
                <w:bCs/>
                <w:lang w:val="en-GB"/>
              </w:rPr>
              <w:t>Rationale or background:</w:t>
            </w:r>
            <w:r w:rsidR="002C224A">
              <w:rPr>
                <w:rFonts w:ascii="Calibri" w:hAnsi="Calibri"/>
                <w:b/>
                <w:bCs/>
                <w:lang w:val="en-GB"/>
              </w:rPr>
              <w:t xml:space="preserve"> </w:t>
            </w:r>
          </w:p>
          <w:p w14:paraId="1CE2799D" w14:textId="6544EBE0" w:rsidR="00F75C5E" w:rsidRDefault="00F75C5E" w:rsidP="00F75C5E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To establish </w:t>
            </w:r>
            <w:r w:rsidR="003B1DDB">
              <w:rPr>
                <w:rFonts w:ascii="Calibri" w:hAnsi="Calibri"/>
                <w:lang w:val="en-GB"/>
              </w:rPr>
              <w:t>guidance to faculty in booking and obtaining reimbursement for travel</w:t>
            </w:r>
            <w:r>
              <w:rPr>
                <w:rFonts w:ascii="Calibri" w:hAnsi="Calibri"/>
                <w:lang w:val="en-GB"/>
              </w:rPr>
              <w:t>.</w:t>
            </w:r>
          </w:p>
          <w:p w14:paraId="6E1E9274" w14:textId="77777777" w:rsidR="003B1DDB" w:rsidRPr="00F75C5E" w:rsidRDefault="003B1DDB" w:rsidP="003B1DDB">
            <w:pPr>
              <w:pStyle w:val="ListParagraph"/>
              <w:rPr>
                <w:rFonts w:ascii="Calibri" w:hAnsi="Calibri"/>
                <w:lang w:val="en-GB"/>
              </w:rPr>
            </w:pPr>
          </w:p>
          <w:p w14:paraId="2CA7D669" w14:textId="6CB3E6B6" w:rsidR="00FF294F" w:rsidRDefault="003B1DDB" w:rsidP="00FF294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2. Suggestions</w:t>
            </w:r>
            <w:r w:rsidR="00FF294F" w:rsidRPr="00FF294F">
              <w:rPr>
                <w:rFonts w:ascii="Calibri" w:hAnsi="Calibri"/>
                <w:b/>
                <w:bCs/>
                <w:lang w:val="en-GB"/>
              </w:rPr>
              <w:t>:</w:t>
            </w:r>
            <w:r w:rsidR="002C224A">
              <w:rPr>
                <w:rFonts w:ascii="Calibri" w:hAnsi="Calibri"/>
                <w:b/>
                <w:bCs/>
                <w:lang w:val="en-GB"/>
              </w:rPr>
              <w:t xml:space="preserve"> </w:t>
            </w:r>
          </w:p>
          <w:p w14:paraId="5052EE8F" w14:textId="77777777" w:rsidR="007F4326" w:rsidRDefault="007F4326" w:rsidP="00FF294F">
            <w:pPr>
              <w:rPr>
                <w:rFonts w:ascii="Calibri" w:hAnsi="Calibri"/>
                <w:b/>
                <w:bCs/>
                <w:lang w:val="en-GB"/>
              </w:rPr>
            </w:pPr>
          </w:p>
          <w:p w14:paraId="1896B506" w14:textId="68AB6F2F" w:rsidR="007F4326" w:rsidRDefault="007F4326" w:rsidP="00BA0CE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TRAVEL AUTHORIZATION FORMS</w:t>
            </w:r>
          </w:p>
          <w:p w14:paraId="304104BF" w14:textId="77777777" w:rsidR="00070F2F" w:rsidRDefault="00A22706" w:rsidP="007F4326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Faculty or staff who will be traveling </w:t>
            </w:r>
            <w:r w:rsidR="002C33A4">
              <w:rPr>
                <w:rFonts w:ascii="Calibri" w:hAnsi="Calibri"/>
                <w:lang w:val="en-GB"/>
              </w:rPr>
              <w:t>are asked to submit</w:t>
            </w:r>
            <w:r>
              <w:rPr>
                <w:rFonts w:ascii="Calibri" w:hAnsi="Calibri"/>
                <w:lang w:val="en-GB"/>
              </w:rPr>
              <w:t xml:space="preserve"> </w:t>
            </w:r>
            <w:r w:rsidR="002C33A4">
              <w:rPr>
                <w:rFonts w:ascii="Calibri" w:hAnsi="Calibri"/>
                <w:lang w:val="en-GB"/>
              </w:rPr>
              <w:t>their</w:t>
            </w:r>
            <w:r>
              <w:rPr>
                <w:rFonts w:ascii="Calibri" w:hAnsi="Calibri"/>
                <w:lang w:val="en-GB"/>
              </w:rPr>
              <w:t xml:space="preserve"> </w:t>
            </w:r>
            <w:r w:rsidRPr="00A22706">
              <w:rPr>
                <w:rFonts w:ascii="Calibri" w:hAnsi="Calibri"/>
                <w:i/>
                <w:lang w:val="en-GB"/>
              </w:rPr>
              <w:t>travel authorization form</w:t>
            </w:r>
            <w:r>
              <w:rPr>
                <w:rFonts w:ascii="Calibri" w:hAnsi="Calibri"/>
                <w:lang w:val="en-GB"/>
              </w:rPr>
              <w:t xml:space="preserve"> (</w:t>
            </w:r>
            <w:hyperlink r:id="rId8" w:history="1">
              <w:r w:rsidRPr="00F83E9E">
                <w:rPr>
                  <w:rStyle w:val="Hyperlink"/>
                  <w:rFonts w:ascii="Calibri" w:hAnsi="Calibri"/>
                  <w:lang w:val="en-GB"/>
                </w:rPr>
                <w:t>https://webservices.ulm.edu/forms/officesdepartments/controllers-office</w:t>
              </w:r>
            </w:hyperlink>
            <w:r>
              <w:rPr>
                <w:rFonts w:ascii="Calibri" w:hAnsi="Calibri"/>
                <w:lang w:val="en-GB"/>
              </w:rPr>
              <w:t>)</w:t>
            </w:r>
            <w:r w:rsidR="002C33A4">
              <w:rPr>
                <w:rFonts w:ascii="Calibri" w:hAnsi="Calibri"/>
                <w:lang w:val="en-GB"/>
              </w:rPr>
              <w:t xml:space="preserve"> to the College Business Office at least 30 days prior to travel</w:t>
            </w:r>
            <w:r>
              <w:rPr>
                <w:rFonts w:ascii="Calibri" w:hAnsi="Calibri"/>
                <w:lang w:val="en-GB"/>
              </w:rPr>
              <w:t>.</w:t>
            </w:r>
            <w:r w:rsidR="002C33A4">
              <w:rPr>
                <w:rFonts w:ascii="Calibri" w:hAnsi="Calibri"/>
                <w:lang w:val="en-GB"/>
              </w:rPr>
              <w:t xml:space="preserve"> If this is not possible, an explanation for the delay in submission should accompany the request to facilitate timely processing.</w:t>
            </w:r>
            <w:r>
              <w:rPr>
                <w:rFonts w:ascii="Calibri" w:hAnsi="Calibri"/>
                <w:lang w:val="en-GB"/>
              </w:rPr>
              <w:t xml:space="preserve"> </w:t>
            </w:r>
          </w:p>
          <w:p w14:paraId="13D54D45" w14:textId="5E3B9EA4" w:rsidR="007F4326" w:rsidRDefault="007F4326" w:rsidP="007F4326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For student travel, the faculty advisor should turn in all travel authorizations in one batch to the College Business Office, in adherence to the above deadlines.</w:t>
            </w:r>
          </w:p>
          <w:p w14:paraId="7EFFB4DD" w14:textId="5E3B9EA4" w:rsidR="007F4326" w:rsidRDefault="007F4326" w:rsidP="00BA0CE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FLIGHTS</w:t>
            </w:r>
          </w:p>
          <w:p w14:paraId="318063F1" w14:textId="3CF7C2F3" w:rsidR="00BA0CEB" w:rsidRPr="007F4326" w:rsidRDefault="00070F2F" w:rsidP="007F4326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lang w:val="en-GB"/>
              </w:rPr>
            </w:pPr>
            <w:r w:rsidRPr="00070F2F">
              <w:rPr>
                <w:rFonts w:ascii="Calibri" w:hAnsi="Calibri"/>
              </w:rPr>
              <w:t xml:space="preserve">Flights must be booked through Shorts Travel portal. Any flights booked outside of Shorts (i.e. Expedia, Orbitz, etc.) will not be </w:t>
            </w:r>
            <w:r w:rsidR="007F4326">
              <w:rPr>
                <w:rFonts w:ascii="Calibri" w:hAnsi="Calibri"/>
              </w:rPr>
              <w:t>reimbursable.</w:t>
            </w:r>
          </w:p>
          <w:p w14:paraId="48E28F7B" w14:textId="09BA878A" w:rsidR="007F4326" w:rsidRPr="007F4326" w:rsidRDefault="007F4326" w:rsidP="007F4326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lang w:val="en-GB"/>
              </w:rPr>
            </w:pPr>
            <w:r w:rsidRPr="007F4326">
              <w:rPr>
                <w:rFonts w:ascii="Calibri" w:hAnsi="Calibri"/>
              </w:rPr>
              <w:t>Please avoid booking flights late in the day or on Fridays. Approval emails for flight reservations are not always sent immediately; this will help keep you from having to re-</w:t>
            </w:r>
            <w:r>
              <w:rPr>
                <w:rFonts w:ascii="Calibri" w:hAnsi="Calibri"/>
              </w:rPr>
              <w:t>book the flight due to approvals not being obtained before the booking expires.</w:t>
            </w:r>
          </w:p>
          <w:p w14:paraId="41EEAB04" w14:textId="389D9A38" w:rsidR="007F4326" w:rsidRDefault="007F4326" w:rsidP="007F4326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HOTELS</w:t>
            </w:r>
          </w:p>
          <w:p w14:paraId="29DA3CE5" w14:textId="7DD1240C" w:rsidR="007F4326" w:rsidRPr="007F4326" w:rsidRDefault="007F4326" w:rsidP="007F4326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lang w:val="en-GB"/>
              </w:rPr>
              <w:t xml:space="preserve">Non-conference: </w:t>
            </w:r>
            <w:r>
              <w:rPr>
                <w:rFonts w:ascii="Calibri" w:hAnsi="Calibri"/>
              </w:rPr>
              <w:t>travelers</w:t>
            </w:r>
            <w:r w:rsidRPr="007F4326">
              <w:rPr>
                <w:rFonts w:ascii="Calibri" w:hAnsi="Calibri"/>
              </w:rPr>
              <w:t xml:space="preserve"> may use Hotel Planner or book directly through the hotel. Please VERIFY that rates are within State Guidelines, as anything over these limits WILL NOT be reimbursed</w:t>
            </w:r>
            <w:r>
              <w:rPr>
                <w:rFonts w:ascii="Calibri" w:hAnsi="Calibri"/>
              </w:rPr>
              <w:t>.</w:t>
            </w:r>
            <w:r w:rsidRPr="007F432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Faculty should obtain a copy of the Tax-exempt form</w:t>
            </w:r>
            <w:r w:rsidRPr="007F4326">
              <w:rPr>
                <w:rFonts w:ascii="Calibri" w:hAnsi="Calibri"/>
              </w:rPr>
              <w:t xml:space="preserve"> from the </w:t>
            </w:r>
            <w:r>
              <w:rPr>
                <w:rFonts w:ascii="Calibri" w:hAnsi="Calibri"/>
              </w:rPr>
              <w:t>B</w:t>
            </w:r>
            <w:r w:rsidRPr="007F4326">
              <w:rPr>
                <w:rFonts w:ascii="Calibri" w:hAnsi="Calibri"/>
              </w:rPr>
              <w:t xml:space="preserve">usiness </w:t>
            </w:r>
            <w:r>
              <w:rPr>
                <w:rFonts w:ascii="Calibri" w:hAnsi="Calibri"/>
              </w:rPr>
              <w:t>O</w:t>
            </w:r>
            <w:r w:rsidRPr="007F4326">
              <w:rPr>
                <w:rFonts w:ascii="Calibri" w:hAnsi="Calibri"/>
              </w:rPr>
              <w:t>ffice</w:t>
            </w:r>
            <w:r>
              <w:rPr>
                <w:rFonts w:ascii="Calibri" w:hAnsi="Calibri"/>
              </w:rPr>
              <w:t xml:space="preserve"> to present to the hotel during check-in</w:t>
            </w:r>
            <w:r w:rsidRPr="007F4326">
              <w:rPr>
                <w:rFonts w:ascii="Calibri" w:hAnsi="Calibri"/>
              </w:rPr>
              <w:t>.</w:t>
            </w:r>
          </w:p>
          <w:p w14:paraId="774704B6" w14:textId="1C8C2777" w:rsidR="007F4326" w:rsidRPr="007F4326" w:rsidRDefault="007F4326" w:rsidP="007F4326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lang w:val="en-GB"/>
              </w:rPr>
              <w:t xml:space="preserve">Conference: </w:t>
            </w:r>
            <w:r>
              <w:rPr>
                <w:rFonts w:ascii="Calibri" w:hAnsi="Calibri"/>
              </w:rPr>
              <w:t>A</w:t>
            </w:r>
            <w:r w:rsidRPr="007F4326">
              <w:rPr>
                <w:rFonts w:ascii="Calibri" w:hAnsi="Calibri"/>
              </w:rPr>
              <w:t xml:space="preserve"> list of conference hotels, along with the agenda from the conference must accompany the travel expense, as this is </w:t>
            </w:r>
            <w:r>
              <w:rPr>
                <w:rFonts w:ascii="Calibri" w:hAnsi="Calibri"/>
              </w:rPr>
              <w:t>required for processing</w:t>
            </w:r>
            <w:r w:rsidRPr="007F4326">
              <w:rPr>
                <w:rFonts w:ascii="Calibri" w:hAnsi="Calibri"/>
              </w:rPr>
              <w:t xml:space="preserve"> by the controller’s office. If hotel is not included in the list of conference hotels, </w:t>
            </w:r>
            <w:r>
              <w:rPr>
                <w:rFonts w:ascii="Calibri" w:hAnsi="Calibri"/>
              </w:rPr>
              <w:t>the traveler w</w:t>
            </w:r>
            <w:r w:rsidRPr="007F4326">
              <w:rPr>
                <w:rFonts w:ascii="Calibri" w:hAnsi="Calibri"/>
              </w:rPr>
              <w:t xml:space="preserve">ill be reimbursed </w:t>
            </w:r>
            <w:r>
              <w:rPr>
                <w:rFonts w:ascii="Calibri" w:hAnsi="Calibri"/>
              </w:rPr>
              <w:t>according to</w:t>
            </w:r>
            <w:r w:rsidRPr="007F4326">
              <w:rPr>
                <w:rFonts w:ascii="Calibri" w:hAnsi="Calibri"/>
              </w:rPr>
              <w:t xml:space="preserve"> the state rate for that area. </w:t>
            </w:r>
          </w:p>
          <w:p w14:paraId="1663C86A" w14:textId="0AF77751" w:rsidR="007F4326" w:rsidRDefault="007F4326" w:rsidP="007F4326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</w:rPr>
              <w:t>At check-out</w:t>
            </w:r>
            <w:r w:rsidRPr="007F4326">
              <w:rPr>
                <w:rFonts w:ascii="Calibri" w:hAnsi="Calibri"/>
              </w:rPr>
              <w:t xml:space="preserve">, please obtain a detailed bill </w:t>
            </w:r>
            <w:r>
              <w:rPr>
                <w:rFonts w:ascii="Calibri" w:hAnsi="Calibri"/>
              </w:rPr>
              <w:t>to be included with your travel expense report.</w:t>
            </w:r>
          </w:p>
          <w:p w14:paraId="11323428" w14:textId="167400FC" w:rsidR="007F4326" w:rsidRDefault="007F4326" w:rsidP="007F4326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CAR RENTALS</w:t>
            </w:r>
          </w:p>
          <w:p w14:paraId="13F834AF" w14:textId="36F14ED9" w:rsidR="007F4326" w:rsidRDefault="007F4326" w:rsidP="007F4326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lang w:val="en-GB"/>
              </w:rPr>
            </w:pPr>
            <w:r w:rsidRPr="007F4326">
              <w:rPr>
                <w:rFonts w:ascii="Calibri" w:hAnsi="Calibri"/>
              </w:rPr>
              <w:t xml:space="preserve">When renting a vehicle for travel, please obtain a detailed bill from Enterprise upon return of the vehicle and submit a copy to the business office after returning to campus. ULM and the College of Pharmacy have a direct bill </w:t>
            </w:r>
            <w:r>
              <w:rPr>
                <w:rFonts w:ascii="Calibri" w:hAnsi="Calibri"/>
              </w:rPr>
              <w:lastRenderedPageBreak/>
              <w:t>account set up with Enterprise;</w:t>
            </w:r>
            <w:r w:rsidRPr="007F4326">
              <w:rPr>
                <w:rFonts w:ascii="Calibri" w:hAnsi="Calibri"/>
              </w:rPr>
              <w:t xml:space="preserve"> these receipts are needed for monthly reconciling.</w:t>
            </w:r>
          </w:p>
          <w:p w14:paraId="4E07A5E4" w14:textId="405D24A0" w:rsidR="007F4326" w:rsidRDefault="007F4326" w:rsidP="007F4326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REIMBURSEMENT</w:t>
            </w:r>
          </w:p>
          <w:p w14:paraId="49732930" w14:textId="12D860D7" w:rsidR="007F4326" w:rsidRPr="007F4326" w:rsidRDefault="007F4326" w:rsidP="007F4326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Travelers</w:t>
            </w:r>
            <w:r w:rsidRPr="007F4326">
              <w:rPr>
                <w:rFonts w:ascii="Calibri" w:hAnsi="Calibri"/>
              </w:rPr>
              <w:t xml:space="preserve"> are encouraged to </w:t>
            </w:r>
            <w:r>
              <w:rPr>
                <w:rFonts w:ascii="Calibri" w:hAnsi="Calibri"/>
              </w:rPr>
              <w:t>submit travel expenses</w:t>
            </w:r>
            <w:r w:rsidRPr="007F4326">
              <w:rPr>
                <w:rFonts w:ascii="Calibri" w:hAnsi="Calibri"/>
              </w:rPr>
              <w:t xml:space="preserve"> to the </w:t>
            </w:r>
            <w:r>
              <w:rPr>
                <w:rFonts w:ascii="Calibri" w:hAnsi="Calibri"/>
              </w:rPr>
              <w:t>B</w:t>
            </w:r>
            <w:r w:rsidRPr="007F4326">
              <w:rPr>
                <w:rFonts w:ascii="Calibri" w:hAnsi="Calibri"/>
              </w:rPr>
              <w:t xml:space="preserve">usiness </w:t>
            </w:r>
            <w:r>
              <w:rPr>
                <w:rFonts w:ascii="Calibri" w:hAnsi="Calibri"/>
              </w:rPr>
              <w:t>O</w:t>
            </w:r>
            <w:r w:rsidRPr="007F4326">
              <w:rPr>
                <w:rFonts w:ascii="Calibri" w:hAnsi="Calibri"/>
              </w:rPr>
              <w:t xml:space="preserve">ffice within one week </w:t>
            </w:r>
            <w:r>
              <w:rPr>
                <w:rFonts w:ascii="Calibri" w:hAnsi="Calibri"/>
              </w:rPr>
              <w:t>of travel</w:t>
            </w:r>
            <w:r w:rsidRPr="007F4326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According to ULM policy, submissions received more than</w:t>
            </w:r>
            <w:r w:rsidRPr="007F4326">
              <w:rPr>
                <w:rFonts w:ascii="Calibri" w:hAnsi="Calibri"/>
              </w:rPr>
              <w:t xml:space="preserve"> 30 days after the travel </w:t>
            </w:r>
            <w:r>
              <w:rPr>
                <w:rFonts w:ascii="Calibri" w:hAnsi="Calibri"/>
              </w:rPr>
              <w:t>will be reimbursed</w:t>
            </w:r>
            <w:r w:rsidRPr="007F4326">
              <w:rPr>
                <w:rFonts w:ascii="Calibri" w:hAnsi="Calibri"/>
              </w:rPr>
              <w:t xml:space="preserve"> at the </w:t>
            </w:r>
            <w:r>
              <w:rPr>
                <w:rFonts w:ascii="Calibri" w:hAnsi="Calibri"/>
              </w:rPr>
              <w:t>discretion</w:t>
            </w:r>
            <w:r w:rsidRPr="007F4326">
              <w:rPr>
                <w:rFonts w:ascii="Calibri" w:hAnsi="Calibri"/>
              </w:rPr>
              <w:t xml:space="preserve"> of the </w:t>
            </w:r>
            <w:r>
              <w:rPr>
                <w:rFonts w:ascii="Calibri" w:hAnsi="Calibri"/>
              </w:rPr>
              <w:t>traveler’s supervisor</w:t>
            </w:r>
            <w:r w:rsidRPr="007F4326">
              <w:rPr>
                <w:rFonts w:ascii="Calibri" w:hAnsi="Calibri"/>
              </w:rPr>
              <w:t xml:space="preserve">. </w:t>
            </w:r>
          </w:p>
          <w:p w14:paraId="7B567F43" w14:textId="53EE66E8" w:rsidR="007F4326" w:rsidRPr="007F4326" w:rsidRDefault="007F4326" w:rsidP="007F4326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lang w:val="en-GB"/>
              </w:rPr>
            </w:pPr>
            <w:r w:rsidRPr="007F4326">
              <w:rPr>
                <w:rFonts w:ascii="Calibri" w:hAnsi="Calibri"/>
              </w:rPr>
              <w:t xml:space="preserve">If ROUTINE TRAVEL </w:t>
            </w:r>
            <w:r>
              <w:rPr>
                <w:rFonts w:ascii="Calibri" w:hAnsi="Calibri"/>
              </w:rPr>
              <w:t xml:space="preserve">occurs </w:t>
            </w:r>
            <w:r w:rsidRPr="007F4326">
              <w:rPr>
                <w:rFonts w:ascii="Calibri" w:hAnsi="Calibri"/>
              </w:rPr>
              <w:t xml:space="preserve">on a regular basis, it is </w:t>
            </w:r>
            <w:r>
              <w:rPr>
                <w:rFonts w:ascii="Calibri" w:hAnsi="Calibri"/>
              </w:rPr>
              <w:t>preferable</w:t>
            </w:r>
            <w:r w:rsidRPr="007F4326">
              <w:rPr>
                <w:rFonts w:ascii="Calibri" w:hAnsi="Calibri"/>
              </w:rPr>
              <w:t xml:space="preserve"> that these expenses be submitted on a monthly basis. This </w:t>
            </w:r>
            <w:r>
              <w:rPr>
                <w:rFonts w:ascii="Calibri" w:hAnsi="Calibri"/>
              </w:rPr>
              <w:t>decreases the paperwork and</w:t>
            </w:r>
            <w:r w:rsidRPr="007F4326">
              <w:rPr>
                <w:rFonts w:ascii="Calibri" w:hAnsi="Calibri"/>
              </w:rPr>
              <w:t xml:space="preserve"> processing </w:t>
            </w:r>
            <w:r>
              <w:rPr>
                <w:rFonts w:ascii="Calibri" w:hAnsi="Calibri"/>
              </w:rPr>
              <w:t>load both internally and in the C</w:t>
            </w:r>
            <w:bookmarkStart w:id="0" w:name="_GoBack"/>
            <w:bookmarkEnd w:id="0"/>
            <w:r>
              <w:rPr>
                <w:rFonts w:ascii="Calibri" w:hAnsi="Calibri"/>
              </w:rPr>
              <w:t>ontroller’s Office.</w:t>
            </w:r>
          </w:p>
          <w:p w14:paraId="2E60457B" w14:textId="00088E29" w:rsidR="00BA0CEB" w:rsidRPr="00BA0CEB" w:rsidRDefault="00BA0CEB" w:rsidP="00BA0CEB">
            <w:pPr>
              <w:rPr>
                <w:rFonts w:ascii="Calibri" w:hAnsi="Calibri"/>
                <w:lang w:val="en-GB"/>
              </w:rPr>
            </w:pPr>
          </w:p>
        </w:tc>
      </w:tr>
    </w:tbl>
    <w:p w14:paraId="56F24771" w14:textId="35152B0F" w:rsidR="000747DC" w:rsidRDefault="000747DC"/>
    <w:sectPr w:rsidR="000747DC" w:rsidSect="004468B3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E0D6C" w14:textId="77777777" w:rsidR="00260D18" w:rsidRDefault="00260D18" w:rsidP="002C224A">
      <w:r>
        <w:separator/>
      </w:r>
    </w:p>
  </w:endnote>
  <w:endnote w:type="continuationSeparator" w:id="0">
    <w:p w14:paraId="16DD0FB7" w14:textId="77777777" w:rsidR="00260D18" w:rsidRDefault="00260D18" w:rsidP="002C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3DF77" w14:textId="77777777" w:rsidR="00666A12" w:rsidRDefault="00666A12" w:rsidP="002C224A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275B3" w:rsidRPr="000275B3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14:paraId="48809BF7" w14:textId="77777777" w:rsidR="00666A12" w:rsidRDefault="00666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8799E" w14:textId="77777777" w:rsidR="00260D18" w:rsidRDefault="00260D18" w:rsidP="002C224A">
      <w:r>
        <w:separator/>
      </w:r>
    </w:p>
  </w:footnote>
  <w:footnote w:type="continuationSeparator" w:id="0">
    <w:p w14:paraId="070D6B6C" w14:textId="77777777" w:rsidR="00260D18" w:rsidRDefault="00260D18" w:rsidP="002C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EF011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F3455"/>
    <w:multiLevelType w:val="hybridMultilevel"/>
    <w:tmpl w:val="A926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53D72"/>
    <w:multiLevelType w:val="hybridMultilevel"/>
    <w:tmpl w:val="E7D2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D78B9"/>
    <w:multiLevelType w:val="hybridMultilevel"/>
    <w:tmpl w:val="812C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326D2"/>
    <w:multiLevelType w:val="hybridMultilevel"/>
    <w:tmpl w:val="2462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335E"/>
    <w:multiLevelType w:val="hybridMultilevel"/>
    <w:tmpl w:val="CD00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029AD"/>
    <w:multiLevelType w:val="hybridMultilevel"/>
    <w:tmpl w:val="F644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61FCA"/>
    <w:multiLevelType w:val="hybridMultilevel"/>
    <w:tmpl w:val="3962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94A2B"/>
    <w:multiLevelType w:val="hybridMultilevel"/>
    <w:tmpl w:val="4336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A38B4"/>
    <w:multiLevelType w:val="multilevel"/>
    <w:tmpl w:val="BFC8E4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0" w15:restartNumberingAfterBreak="0">
    <w:nsid w:val="4629495E"/>
    <w:multiLevelType w:val="hybridMultilevel"/>
    <w:tmpl w:val="AFD61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C1760"/>
    <w:multiLevelType w:val="multilevel"/>
    <w:tmpl w:val="BFC8E4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2" w15:restartNumberingAfterBreak="0">
    <w:nsid w:val="4DF20B47"/>
    <w:multiLevelType w:val="hybridMultilevel"/>
    <w:tmpl w:val="B3D8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22BD3"/>
    <w:multiLevelType w:val="hybridMultilevel"/>
    <w:tmpl w:val="F9DC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6B2B"/>
    <w:multiLevelType w:val="multilevel"/>
    <w:tmpl w:val="BFC8E4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63D49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15"/>
  </w:num>
  <w:num w:numId="7">
    <w:abstractNumId w:val="14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4F"/>
    <w:rsid w:val="000275B3"/>
    <w:rsid w:val="00070F2F"/>
    <w:rsid w:val="000747DC"/>
    <w:rsid w:val="00074E75"/>
    <w:rsid w:val="000834FC"/>
    <w:rsid w:val="000E338C"/>
    <w:rsid w:val="001173EA"/>
    <w:rsid w:val="001641C9"/>
    <w:rsid w:val="00182799"/>
    <w:rsid w:val="001A0E36"/>
    <w:rsid w:val="001B16C6"/>
    <w:rsid w:val="001D1D06"/>
    <w:rsid w:val="00215FB9"/>
    <w:rsid w:val="00260D18"/>
    <w:rsid w:val="002C224A"/>
    <w:rsid w:val="002C33A4"/>
    <w:rsid w:val="002E2AFF"/>
    <w:rsid w:val="003075A0"/>
    <w:rsid w:val="0034264E"/>
    <w:rsid w:val="0035399B"/>
    <w:rsid w:val="00357003"/>
    <w:rsid w:val="00386962"/>
    <w:rsid w:val="003963A1"/>
    <w:rsid w:val="003B1DDB"/>
    <w:rsid w:val="003B433A"/>
    <w:rsid w:val="004468B3"/>
    <w:rsid w:val="00446CCC"/>
    <w:rsid w:val="00460730"/>
    <w:rsid w:val="004D0CEF"/>
    <w:rsid w:val="004D2074"/>
    <w:rsid w:val="004E39D3"/>
    <w:rsid w:val="005414A7"/>
    <w:rsid w:val="005B3EB2"/>
    <w:rsid w:val="00630522"/>
    <w:rsid w:val="00644198"/>
    <w:rsid w:val="00666A12"/>
    <w:rsid w:val="006721ED"/>
    <w:rsid w:val="00690320"/>
    <w:rsid w:val="006A0D9D"/>
    <w:rsid w:val="006C45DF"/>
    <w:rsid w:val="0072781E"/>
    <w:rsid w:val="00733A46"/>
    <w:rsid w:val="007E572D"/>
    <w:rsid w:val="007F3943"/>
    <w:rsid w:val="007F4326"/>
    <w:rsid w:val="008217CE"/>
    <w:rsid w:val="008236B9"/>
    <w:rsid w:val="008A2A6C"/>
    <w:rsid w:val="00947A6D"/>
    <w:rsid w:val="009724EC"/>
    <w:rsid w:val="009A4564"/>
    <w:rsid w:val="00A0300E"/>
    <w:rsid w:val="00A14002"/>
    <w:rsid w:val="00A22706"/>
    <w:rsid w:val="00A74F5D"/>
    <w:rsid w:val="00A801B2"/>
    <w:rsid w:val="00AD2C8C"/>
    <w:rsid w:val="00B317F3"/>
    <w:rsid w:val="00B32DA1"/>
    <w:rsid w:val="00B538D9"/>
    <w:rsid w:val="00BA0CEB"/>
    <w:rsid w:val="00C138C3"/>
    <w:rsid w:val="00CE5CE2"/>
    <w:rsid w:val="00D27AB9"/>
    <w:rsid w:val="00D62DC3"/>
    <w:rsid w:val="00D72FE2"/>
    <w:rsid w:val="00DE11E3"/>
    <w:rsid w:val="00E022D9"/>
    <w:rsid w:val="00E426BE"/>
    <w:rsid w:val="00E52D65"/>
    <w:rsid w:val="00EB76E0"/>
    <w:rsid w:val="00EF0026"/>
    <w:rsid w:val="00F044A6"/>
    <w:rsid w:val="00F75C5E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2BF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2DC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94F"/>
    <w:rPr>
      <w:rFonts w:eastAsia="Times New Roman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C224A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eastAsia="Times New Roman"/>
      <w:lang w:eastAsia="en-CA"/>
    </w:rPr>
  </w:style>
  <w:style w:type="character" w:customStyle="1" w:styleId="HeaderChar">
    <w:name w:val="Header Char"/>
    <w:link w:val="Header"/>
    <w:uiPriority w:val="99"/>
    <w:rsid w:val="002C224A"/>
    <w:rPr>
      <w:rFonts w:ascii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224A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eastAsia="Times New Roman"/>
      <w:lang w:eastAsia="en-CA"/>
    </w:rPr>
  </w:style>
  <w:style w:type="character" w:customStyle="1" w:styleId="FooterChar">
    <w:name w:val="Footer Char"/>
    <w:link w:val="Footer"/>
    <w:uiPriority w:val="99"/>
    <w:rsid w:val="002C224A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224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2C224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4D0C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E3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9D3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9D3"/>
    <w:rPr>
      <w:rFonts w:ascii="Times New Roman" w:eastAsia="Times New Roman" w:hAnsi="Times New Roman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9D3"/>
    <w:rPr>
      <w:rFonts w:ascii="Times New Roman" w:eastAsia="Times New Roman" w:hAnsi="Times New Roman"/>
      <w:b/>
      <w:bCs/>
      <w:lang w:eastAsia="en-CA"/>
    </w:rPr>
  </w:style>
  <w:style w:type="paragraph" w:styleId="ListParagraph">
    <w:name w:val="List Paragraph"/>
    <w:basedOn w:val="Normal"/>
    <w:uiPriority w:val="34"/>
    <w:qFormat/>
    <w:rsid w:val="00CE5CE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6073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A227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ervices.ulm.edu/forms/officesdepartments/controllers-off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1566050E-B253-CE4C-8D91-1A588ACB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Gina Craft</cp:lastModifiedBy>
  <cp:revision>2</cp:revision>
  <dcterms:created xsi:type="dcterms:W3CDTF">2018-08-01T22:32:00Z</dcterms:created>
  <dcterms:modified xsi:type="dcterms:W3CDTF">2018-08-01T22:32:00Z</dcterms:modified>
</cp:coreProperties>
</file>